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62" w:rsidRPr="00A83061" w:rsidRDefault="007C3962" w:rsidP="007C3962">
      <w:pPr>
        <w:jc w:val="center"/>
        <w:rPr>
          <w:rFonts w:ascii="Times New Roman" w:hAnsi="Times New Roman"/>
          <w:b/>
          <w:szCs w:val="24"/>
        </w:rPr>
      </w:pPr>
      <w:r w:rsidRPr="00A83061">
        <w:rPr>
          <w:rFonts w:ascii="Times New Roman" w:hAnsi="Times New Roman"/>
          <w:b/>
          <w:szCs w:val="24"/>
        </w:rPr>
        <w:t>Пример оформления текста</w:t>
      </w:r>
    </w:p>
    <w:p w:rsidR="007C3962" w:rsidRPr="00DC7CD8" w:rsidRDefault="007C3962" w:rsidP="007C3962">
      <w:pPr>
        <w:autoSpaceDE w:val="0"/>
        <w:autoSpaceDN w:val="0"/>
        <w:adjustRightInd w:val="0"/>
        <w:ind w:left="-284" w:firstLine="284"/>
        <w:rPr>
          <w:rFonts w:ascii="Times New Roman" w:eastAsia="Calibri" w:hAnsi="Times New Roman"/>
          <w:sz w:val="22"/>
          <w:szCs w:val="22"/>
          <w:lang w:eastAsia="en-US"/>
        </w:rPr>
      </w:pPr>
      <w:r w:rsidRPr="00DC7CD8">
        <w:rPr>
          <w:rFonts w:ascii="Times New Roman" w:eastAsia="Calibri" w:hAnsi="Times New Roman"/>
          <w:sz w:val="22"/>
          <w:szCs w:val="22"/>
          <w:lang w:eastAsia="en-US"/>
        </w:rPr>
        <w:t>УДК 66.074</w:t>
      </w:r>
    </w:p>
    <w:p w:rsidR="007C3962" w:rsidRPr="00DC7CD8" w:rsidRDefault="007C3962" w:rsidP="007C39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2"/>
          <w:lang w:eastAsia="en-US"/>
        </w:rPr>
      </w:pPr>
      <w:proofErr w:type="spellStart"/>
      <w:r w:rsidRPr="00DC7CD8">
        <w:rPr>
          <w:rFonts w:ascii="Times New Roman" w:hAnsi="Times New Roman"/>
          <w:szCs w:val="22"/>
          <w:u w:val="single"/>
          <w:lang w:eastAsia="en-US"/>
        </w:rPr>
        <w:t>Ледрова</w:t>
      </w:r>
      <w:proofErr w:type="spellEnd"/>
      <w:r w:rsidRPr="00DC7CD8">
        <w:rPr>
          <w:rFonts w:ascii="Times New Roman" w:hAnsi="Times New Roman"/>
          <w:szCs w:val="22"/>
          <w:u w:val="single"/>
          <w:lang w:eastAsia="en-US"/>
        </w:rPr>
        <w:t xml:space="preserve"> Е.С.</w:t>
      </w:r>
      <w:r w:rsidRPr="00DC7CD8">
        <w:rPr>
          <w:rFonts w:ascii="Times New Roman" w:hAnsi="Times New Roman"/>
          <w:szCs w:val="22"/>
          <w:lang w:eastAsia="en-US"/>
        </w:rPr>
        <w:t>,</w:t>
      </w:r>
      <w:proofErr w:type="spellStart"/>
      <w:r w:rsidRPr="00DC7CD8">
        <w:rPr>
          <w:rFonts w:ascii="Times New Roman" w:hAnsi="Times New Roman"/>
          <w:szCs w:val="22"/>
          <w:lang w:eastAsia="en-US"/>
        </w:rPr>
        <w:t>Бухаров</w:t>
      </w:r>
      <w:proofErr w:type="spellEnd"/>
      <w:r w:rsidRPr="00DC7CD8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DC7CD8">
        <w:rPr>
          <w:rFonts w:ascii="Times New Roman" w:hAnsi="Times New Roman"/>
          <w:szCs w:val="22"/>
          <w:lang w:eastAsia="en-US"/>
        </w:rPr>
        <w:t>Д.М.,</w:t>
      </w:r>
      <w:proofErr w:type="gramStart"/>
      <w:r w:rsidRPr="00DC7CD8">
        <w:rPr>
          <w:rFonts w:ascii="Times New Roman" w:hAnsi="Times New Roman"/>
          <w:szCs w:val="22"/>
          <w:lang w:eastAsia="en-US"/>
        </w:rPr>
        <w:t>Коновалов</w:t>
      </w:r>
      <w:proofErr w:type="spellEnd"/>
      <w:proofErr w:type="gramEnd"/>
      <w:r w:rsidRPr="00DC7CD8">
        <w:rPr>
          <w:rFonts w:ascii="Times New Roman" w:hAnsi="Times New Roman"/>
          <w:szCs w:val="22"/>
          <w:lang w:eastAsia="en-US"/>
        </w:rPr>
        <w:t xml:space="preserve"> В.С., Степыкин А.В.</w:t>
      </w:r>
    </w:p>
    <w:p w:rsidR="007C3962" w:rsidRPr="00DC7CD8" w:rsidRDefault="007C3962" w:rsidP="007C39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7C3962" w:rsidRPr="00DC7CD8" w:rsidRDefault="007C3962" w:rsidP="007C3962">
      <w:pPr>
        <w:suppressAutoHyphens/>
        <w:ind w:firstLine="709"/>
        <w:jc w:val="center"/>
        <w:rPr>
          <w:rFonts w:ascii="Times New Roman" w:hAnsi="Times New Roman"/>
          <w:b/>
          <w:caps/>
          <w:szCs w:val="22"/>
          <w:lang w:eastAsia="en-US"/>
        </w:rPr>
      </w:pPr>
      <w:r w:rsidRPr="00DC7CD8">
        <w:rPr>
          <w:rFonts w:ascii="Times New Roman" w:hAnsi="Times New Roman"/>
          <w:b/>
          <w:caps/>
          <w:szCs w:val="22"/>
          <w:lang w:eastAsia="en-US"/>
        </w:rPr>
        <w:t>Разработка дыхательных фильтров для промышленных резервуаров химических предприятий</w:t>
      </w:r>
    </w:p>
    <w:p w:rsidR="007C3962" w:rsidRPr="00DC7CD8" w:rsidRDefault="007C3962" w:rsidP="007C39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2"/>
          <w:lang w:eastAsia="en-US"/>
        </w:rPr>
      </w:pPr>
    </w:p>
    <w:p w:rsidR="007C3962" w:rsidRPr="00DC7CD8" w:rsidRDefault="007C3962" w:rsidP="007C3962">
      <w:pPr>
        <w:ind w:firstLine="709"/>
        <w:jc w:val="center"/>
        <w:rPr>
          <w:rFonts w:ascii="Times New Roman" w:hAnsi="Times New Roman"/>
          <w:szCs w:val="22"/>
          <w:lang w:eastAsia="en-US"/>
        </w:rPr>
      </w:pPr>
      <w:r w:rsidRPr="00DC7CD8">
        <w:rPr>
          <w:rFonts w:ascii="Times New Roman" w:hAnsi="Times New Roman"/>
          <w:szCs w:val="22"/>
          <w:lang w:eastAsia="en-US"/>
        </w:rPr>
        <w:t xml:space="preserve">Дзержинский политехнический институт (филиал) НГТУ им. Р.Е Алексеева </w:t>
      </w:r>
    </w:p>
    <w:p w:rsidR="007C3962" w:rsidRPr="00DC7CD8" w:rsidRDefault="007C3962" w:rsidP="007C3962">
      <w:pPr>
        <w:tabs>
          <w:tab w:val="left" w:pos="4173"/>
        </w:tabs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DC7CD8">
        <w:rPr>
          <w:rFonts w:ascii="Times New Roman" w:hAnsi="Times New Roman"/>
          <w:szCs w:val="24"/>
          <w:lang w:eastAsia="en-US"/>
        </w:rPr>
        <w:tab/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szCs w:val="24"/>
          <w:lang w:eastAsia="en-US"/>
        </w:rPr>
        <w:t>Фильтры (фильтрационные установки) поглотители и вентиляционные установки предназначены для фильтрации и поглощения из атмосферного воздуха отравляющих, химических и бактериологических веществ, аэрозолей, радиоактивной пыли, дымов и других агрессивных веществ. Фильтр представляют собой цилиндрическую емкость с пропускной способностью от 50</w:t>
      </w: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7.8pt" o:ole="">
            <v:imagedata r:id="rId6" o:title=""/>
          </v:shape>
          <o:OLEObject Type="Embed" ProgID="Equation.DSMT4" ShapeID="_x0000_i1025" DrawAspect="Content" ObjectID="_1704014019" r:id="rId7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>500 м</w:t>
      </w:r>
      <w:r w:rsidRPr="00DC7CD8">
        <w:rPr>
          <w:rFonts w:ascii="Times New Roman" w:eastAsia="Calibri" w:hAnsi="Times New Roman"/>
          <w:szCs w:val="24"/>
          <w:vertAlign w:val="superscript"/>
          <w:lang w:eastAsia="en-US"/>
        </w:rPr>
        <w:t>3</w:t>
      </w:r>
      <w:r w:rsidRPr="00DC7CD8">
        <w:rPr>
          <w:rFonts w:ascii="Times New Roman" w:eastAsia="Calibri" w:hAnsi="Times New Roman"/>
          <w:szCs w:val="24"/>
          <w:lang w:eastAsia="en-US"/>
        </w:rPr>
        <w:t>/ч. Фильтр-поглотитель устанавливается на вентиляционную трубу резервуаров с помощью разъемного фланцевого соединения. Методика расчета такого фильтра в целом должна соответствовать [1], с учетом [2].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szCs w:val="24"/>
          <w:lang w:eastAsia="en-US"/>
        </w:rPr>
        <w:t xml:space="preserve">Принципиально разрабатываемый фильтр состоит из корпуса и перепускной трубы, являющейся частью жесткого каркаса. Устойчивость данной конструкции дополнительно создается ребрами жесткости. На опорные решетки последовательно, в два слоя, засыпаются гидрофобный и гидрофильный адсорбенты. Сверху адсорбент также зажимается специальной решеткой. Обеззараживающие устройства расположены по периметру фильтра. Сверху </w:t>
      </w:r>
      <w:proofErr w:type="spellStart"/>
      <w:r w:rsidRPr="00DC7CD8">
        <w:rPr>
          <w:rFonts w:ascii="Times New Roman" w:eastAsia="Calibri" w:hAnsi="Times New Roman"/>
          <w:szCs w:val="24"/>
          <w:lang w:eastAsia="en-US"/>
        </w:rPr>
        <w:t>байпасной</w:t>
      </w:r>
      <w:proofErr w:type="spellEnd"/>
      <w:r w:rsidRPr="00DC7CD8">
        <w:rPr>
          <w:rFonts w:ascii="Times New Roman" w:eastAsia="Calibri" w:hAnsi="Times New Roman"/>
          <w:szCs w:val="24"/>
          <w:lang w:eastAsia="en-US"/>
        </w:rPr>
        <w:t xml:space="preserve"> трубы устанавливается сетка, которая препятствует попаданию крупного мусора. Для защиты фильтрационной установки от воздействия окружающей среды предусмотрен колпак, который накрывает конструкцию. В выносном блоке сконструированы элементы аналитического управления, выполняющие роль центра по поддержанию фильтра в рабочем состоянии. Блок способен, помимо поддержания заданных технологических параметров, следить за состоянием адсорбента, контролировать  процесс его частичной регенерации. За счет чего можно сократить габариты фильтрационной установки.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szCs w:val="24"/>
          <w:lang w:eastAsia="en-US"/>
        </w:rPr>
        <w:t xml:space="preserve">Главная цель проекта </w:t>
      </w: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26" type="#_x0000_t75" style="width:9.6pt;height:7.8pt" o:ole="">
            <v:imagedata r:id="rId8" o:title=""/>
          </v:shape>
          <o:OLEObject Type="Embed" ProgID="Equation.DSMT4" ShapeID="_x0000_i1026" DrawAspect="Content" ObjectID="_1704014020" r:id="rId9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 xml:space="preserve"> создание качественного отечественного фильтрующего устройства с минимальными затратами, содержащего ”умную” систему адаптации к заданным условиям работы.  При этом будут иметь место следующие преимущества разрабатываемого фильтра поглотителя:</w:t>
      </w:r>
    </w:p>
    <w:p w:rsidR="007C3962" w:rsidRPr="00DC7CD8" w:rsidRDefault="007C3962" w:rsidP="007C3962">
      <w:pPr>
        <w:ind w:left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27" type="#_x0000_t75" style="width:9.6pt;height:7.8pt" o:ole="">
            <v:imagedata r:id="rId10" o:title=""/>
          </v:shape>
          <o:OLEObject Type="Embed" ProgID="Equation.DSMT4" ShapeID="_x0000_i1027" DrawAspect="Content" ObjectID="_1704014021" r:id="rId11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>меньшая стоимость и меньший вес;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28" type="#_x0000_t75" style="width:9.6pt;height:7.8pt" o:ole="">
            <v:imagedata r:id="rId10" o:title=""/>
          </v:shape>
          <o:OLEObject Type="Embed" ProgID="Equation.DSMT4" ShapeID="_x0000_i1028" DrawAspect="Content" ObjectID="_1704014022" r:id="rId12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>простота конструкции, продолжительный срок службы без капитальной замены наполнения;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29" type="#_x0000_t75" style="width:9.6pt;height:7.8pt" o:ole="">
            <v:imagedata r:id="rId10" o:title=""/>
          </v:shape>
          <o:OLEObject Type="Embed" ProgID="Equation.DSMT4" ShapeID="_x0000_i1029" DrawAspect="Content" ObjectID="_1704014023" r:id="rId13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 xml:space="preserve">применение отечественного адсорбента, производство которого находится в Нижегородской области; 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30" type="#_x0000_t75" style="width:9.6pt;height:7.8pt" o:ole="">
            <v:imagedata r:id="rId10" o:title=""/>
          </v:shape>
          <o:OLEObject Type="Embed" ProgID="Equation.DSMT4" ShapeID="_x0000_i1030" DrawAspect="Content" ObjectID="_1704014024" r:id="rId14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>система саморегулирования параметров, адаптированная под разные условия эксплуатации.</w:t>
      </w:r>
    </w:p>
    <w:p w:rsidR="007C3962" w:rsidRPr="00DC7CD8" w:rsidRDefault="007C3962" w:rsidP="007C3962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szCs w:val="24"/>
          <w:lang w:eastAsia="en-US"/>
        </w:rPr>
        <w:t>Реализация проекта, главным образом связанно с заинтересованностью химических предприятий в приобретении данного типа оборудования.</w:t>
      </w:r>
    </w:p>
    <w:p w:rsidR="007C3962" w:rsidRPr="00DC7CD8" w:rsidRDefault="007C3962" w:rsidP="007C3962">
      <w:pPr>
        <w:ind w:firstLine="709"/>
        <w:jc w:val="both"/>
        <w:rPr>
          <w:rFonts w:ascii="Times New Roman" w:eastAsia="Calibri" w:hAnsi="Times New Roman"/>
          <w:szCs w:val="24"/>
          <w:highlight w:val="yellow"/>
          <w:lang w:eastAsia="en-US"/>
        </w:rPr>
      </w:pPr>
    </w:p>
    <w:p w:rsidR="007C3962" w:rsidRPr="00DC7CD8" w:rsidRDefault="007C3962" w:rsidP="007C3962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DC7CD8">
        <w:rPr>
          <w:rFonts w:ascii="Times New Roman" w:eastAsia="Calibri" w:hAnsi="Times New Roman"/>
          <w:szCs w:val="24"/>
          <w:lang w:eastAsia="en-US"/>
        </w:rPr>
        <w:t>Основные процессы и аппараты химической технологии: Пособие по проектированию</w:t>
      </w:r>
      <w:proofErr w:type="gramStart"/>
      <w:r w:rsidRPr="00DC7CD8">
        <w:rPr>
          <w:rFonts w:ascii="Times New Roman" w:eastAsia="Calibri" w:hAnsi="Times New Roman"/>
          <w:szCs w:val="24"/>
          <w:lang w:eastAsia="en-US"/>
        </w:rPr>
        <w:t>/ П</w:t>
      </w:r>
      <w:proofErr w:type="gramEnd"/>
      <w:r w:rsidRPr="00DC7CD8">
        <w:rPr>
          <w:rFonts w:ascii="Times New Roman" w:eastAsia="Calibri" w:hAnsi="Times New Roman"/>
          <w:szCs w:val="24"/>
          <w:lang w:eastAsia="en-US"/>
        </w:rPr>
        <w:t xml:space="preserve">од ред. Ю. И. </w:t>
      </w:r>
      <w:proofErr w:type="spellStart"/>
      <w:r w:rsidRPr="00DC7CD8">
        <w:rPr>
          <w:rFonts w:ascii="Times New Roman" w:eastAsia="Calibri" w:hAnsi="Times New Roman"/>
          <w:szCs w:val="24"/>
          <w:lang w:eastAsia="en-US"/>
        </w:rPr>
        <w:t>Дытнерского</w:t>
      </w:r>
      <w:proofErr w:type="spellEnd"/>
      <w:r w:rsidRPr="00DC7CD8">
        <w:rPr>
          <w:rFonts w:ascii="Times New Roman" w:eastAsia="Calibri" w:hAnsi="Times New Roman"/>
          <w:szCs w:val="24"/>
          <w:lang w:eastAsia="en-US"/>
        </w:rPr>
        <w:t>.</w:t>
      </w: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31" type="#_x0000_t75" style="width:9.6pt;height:7.8pt" o:ole="">
            <v:imagedata r:id="rId15" o:title=""/>
          </v:shape>
          <o:OLEObject Type="Embed" ProgID="Equation.DSMT4" ShapeID="_x0000_i1031" DrawAspect="Content" ObjectID="_1704014025" r:id="rId16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 xml:space="preserve"> М.: Химия, 1983.</w:t>
      </w:r>
      <w:r w:rsidRPr="00DC7CD8">
        <w:rPr>
          <w:rFonts w:ascii="Times New Roman" w:eastAsia="Calibri" w:hAnsi="Times New Roman"/>
          <w:position w:val="-4"/>
          <w:szCs w:val="24"/>
          <w:lang w:eastAsia="en-US"/>
        </w:rPr>
        <w:object w:dxaOrig="200" w:dyaOrig="160">
          <v:shape id="_x0000_i1032" type="#_x0000_t75" style="width:9.6pt;height:7.8pt" o:ole="">
            <v:imagedata r:id="rId17" o:title=""/>
          </v:shape>
          <o:OLEObject Type="Embed" ProgID="Equation.DSMT4" ShapeID="_x0000_i1032" DrawAspect="Content" ObjectID="_1704014026" r:id="rId18"/>
        </w:object>
      </w:r>
      <w:r w:rsidRPr="00DC7CD8">
        <w:rPr>
          <w:rFonts w:ascii="Times New Roman" w:eastAsia="Calibri" w:hAnsi="Times New Roman"/>
          <w:szCs w:val="24"/>
          <w:lang w:eastAsia="en-US"/>
        </w:rPr>
        <w:t xml:space="preserve"> 272 с.</w:t>
      </w:r>
    </w:p>
    <w:p w:rsidR="007C3962" w:rsidRPr="00DC7CD8" w:rsidRDefault="007C3962" w:rsidP="007C3962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proofErr w:type="spellStart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>Паранук</w:t>
      </w:r>
      <w:proofErr w:type="spellEnd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 xml:space="preserve"> А.А., </w:t>
      </w:r>
      <w:proofErr w:type="spellStart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>Хрисониди</w:t>
      </w:r>
      <w:proofErr w:type="spellEnd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 xml:space="preserve"> В.А. Исследование адсорбционной емкости цеолита </w:t>
      </w:r>
      <w:proofErr w:type="spellStart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>КАсо</w:t>
      </w:r>
      <w:proofErr w:type="spellEnd"/>
      <w:r w:rsidRPr="00DC7CD8">
        <w:rPr>
          <w:rFonts w:ascii="Times New Roman" w:eastAsia="Calibri" w:hAnsi="Times New Roman"/>
          <w:color w:val="000000"/>
          <w:szCs w:val="24"/>
          <w:lang w:eastAsia="en-US"/>
        </w:rPr>
        <w:t xml:space="preserve"> // Успехи современного естествознания. № 9-0. С. 29–33</w:t>
      </w:r>
    </w:p>
    <w:p w:rsidR="007C3962" w:rsidRPr="00DC7CD8" w:rsidRDefault="007C3962" w:rsidP="007C3962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:rsidR="007C3962" w:rsidRPr="00DC7CD8" w:rsidRDefault="007C3962" w:rsidP="007C3962">
      <w:pPr>
        <w:spacing w:line="360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</w:p>
    <w:p w:rsidR="007C3962" w:rsidRPr="00A83061" w:rsidRDefault="007C3962" w:rsidP="007C3962">
      <w:pPr>
        <w:ind w:left="-567" w:right="283" w:firstLine="851"/>
        <w:jc w:val="center"/>
        <w:rPr>
          <w:rFonts w:ascii="Times New Roman" w:hAnsi="Times New Roman"/>
          <w:b/>
          <w:szCs w:val="24"/>
        </w:rPr>
      </w:pPr>
    </w:p>
    <w:p w:rsidR="006B2CEA" w:rsidRDefault="007C3962">
      <w:bookmarkStart w:id="0" w:name="_GoBack"/>
      <w:bookmarkEnd w:id="0"/>
    </w:p>
    <w:sectPr w:rsidR="006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6E4"/>
    <w:multiLevelType w:val="hybridMultilevel"/>
    <w:tmpl w:val="5B902682"/>
    <w:lvl w:ilvl="0" w:tplc="5F2ED9D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1"/>
    <w:rsid w:val="002226F4"/>
    <w:rsid w:val="004034C2"/>
    <w:rsid w:val="007B08D1"/>
    <w:rsid w:val="007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2022-01-18T09:26:00Z</dcterms:created>
  <dcterms:modified xsi:type="dcterms:W3CDTF">2022-01-18T09:27:00Z</dcterms:modified>
</cp:coreProperties>
</file>